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50E" w:rsidRDefault="0020250E" w:rsidP="007C05B6">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5</w:t>
      </w:r>
    </w:p>
    <w:p w:rsidR="007C05B6" w:rsidRDefault="00622651" w:rsidP="007C05B6">
      <w:pPr>
        <w:spacing w:after="0" w:line="240" w:lineRule="auto"/>
        <w:jc w:val="both"/>
        <w:rPr>
          <w:rFonts w:ascii="Times New Roman" w:eastAsia="Times New Roman" w:hAnsi="Times New Roman" w:cs="Times New Roman"/>
          <w:b/>
          <w:bCs/>
        </w:rPr>
      </w:pPr>
      <w:r w:rsidRPr="007C05B6">
        <w:rPr>
          <w:rFonts w:ascii="Times New Roman" w:eastAsia="Times New Roman" w:hAnsi="Times New Roman" w:cs="Times New Roman"/>
          <w:b/>
          <w:bCs/>
        </w:rPr>
        <w:t>IMPACTO EN EL ESTADO NUTRICIONAL PRE Y POST INSTALACIÓN DEL MONITOREO CONTINUO DE GLUCOSA EN PACIENTES CON BOMBA DE INFUSIÓN CONTINUA</w:t>
      </w:r>
    </w:p>
    <w:p w:rsidR="007C05B6" w:rsidRDefault="00622651" w:rsidP="007C05B6">
      <w:pPr>
        <w:spacing w:after="0" w:line="240" w:lineRule="auto"/>
        <w:jc w:val="both"/>
        <w:rPr>
          <w:rFonts w:ascii="Times New Roman" w:eastAsia="Times New Roman" w:hAnsi="Times New Roman" w:cs="Times New Roman"/>
          <w:vertAlign w:val="superscript"/>
        </w:rPr>
      </w:pPr>
      <w:bookmarkStart w:id="0" w:name="_GoBack"/>
      <w:bookmarkEnd w:id="0"/>
      <w:r w:rsidRPr="007C05B6">
        <w:rPr>
          <w:rFonts w:ascii="Times New Roman" w:eastAsia="Times New Roman" w:hAnsi="Times New Roman" w:cs="Times New Roman"/>
        </w:rPr>
        <w:t>Daniela Muñoz Ferrada</w:t>
      </w:r>
      <w:r w:rsidRPr="007C05B6">
        <w:rPr>
          <w:rFonts w:ascii="Times New Roman" w:eastAsia="Times New Roman" w:hAnsi="Times New Roman" w:cs="Times New Roman"/>
          <w:vertAlign w:val="superscript"/>
        </w:rPr>
        <w:t>1</w:t>
      </w:r>
      <w:r w:rsidRPr="007C05B6">
        <w:rPr>
          <w:rFonts w:ascii="Times New Roman" w:eastAsia="Times New Roman" w:hAnsi="Times New Roman" w:cs="Times New Roman"/>
        </w:rPr>
        <w:t>, Yasmina Letelier Rojas</w:t>
      </w:r>
      <w:r w:rsidRPr="007C05B6">
        <w:rPr>
          <w:rFonts w:ascii="Times New Roman" w:eastAsia="Times New Roman" w:hAnsi="Times New Roman" w:cs="Times New Roman"/>
          <w:vertAlign w:val="superscript"/>
        </w:rPr>
        <w:t>2</w:t>
      </w:r>
      <w:r w:rsidRPr="007C05B6">
        <w:rPr>
          <w:rFonts w:ascii="Times New Roman" w:eastAsia="Times New Roman" w:hAnsi="Times New Roman" w:cs="Times New Roman"/>
        </w:rPr>
        <w:t>, Claudia Alvarado Azolas</w:t>
      </w:r>
      <w:r w:rsidRPr="007C05B6">
        <w:rPr>
          <w:rFonts w:ascii="Times New Roman" w:eastAsia="Times New Roman" w:hAnsi="Times New Roman" w:cs="Times New Roman"/>
          <w:vertAlign w:val="superscript"/>
        </w:rPr>
        <w:t>2</w:t>
      </w:r>
      <w:r w:rsidRPr="007C05B6">
        <w:rPr>
          <w:rFonts w:ascii="Times New Roman" w:eastAsia="Times New Roman" w:hAnsi="Times New Roman" w:cs="Times New Roman"/>
        </w:rPr>
        <w:t>, R</w:t>
      </w:r>
      <w:r w:rsidR="007C05B6">
        <w:rPr>
          <w:rFonts w:ascii="Times New Roman" w:eastAsia="Times New Roman" w:hAnsi="Times New Roman" w:cs="Times New Roman"/>
        </w:rPr>
        <w:t>ossana Román Reyes</w:t>
      </w:r>
      <w:r w:rsidRPr="007C05B6">
        <w:rPr>
          <w:rFonts w:ascii="Times New Roman" w:eastAsia="Times New Roman" w:hAnsi="Times New Roman" w:cs="Times New Roman"/>
          <w:vertAlign w:val="superscript"/>
        </w:rPr>
        <w:t>3</w:t>
      </w:r>
      <w:r w:rsidRPr="007C05B6">
        <w:rPr>
          <w:rFonts w:ascii="Times New Roman" w:eastAsia="Times New Roman" w:hAnsi="Times New Roman" w:cs="Times New Roman"/>
        </w:rPr>
        <w:t>, Jeannette Linares Moreno</w:t>
      </w:r>
      <w:r w:rsidRPr="007C05B6">
        <w:rPr>
          <w:rFonts w:ascii="Times New Roman" w:eastAsia="Times New Roman" w:hAnsi="Times New Roman" w:cs="Times New Roman"/>
          <w:vertAlign w:val="superscript"/>
        </w:rPr>
        <w:t>3</w:t>
      </w:r>
    </w:p>
    <w:p w:rsidR="007C05B6" w:rsidRDefault="00622651" w:rsidP="007C05B6">
      <w:pPr>
        <w:spacing w:after="0" w:line="240" w:lineRule="auto"/>
        <w:jc w:val="both"/>
        <w:rPr>
          <w:rFonts w:ascii="Times New Roman" w:eastAsia="Times New Roman" w:hAnsi="Times New Roman" w:cs="Times New Roman"/>
        </w:rPr>
      </w:pPr>
      <w:r w:rsidRPr="007C05B6">
        <w:rPr>
          <w:rFonts w:ascii="Times New Roman" w:eastAsia="Times New Roman" w:hAnsi="Times New Roman" w:cs="Times New Roman"/>
          <w:vertAlign w:val="superscript"/>
        </w:rPr>
        <w:t>1</w:t>
      </w:r>
      <w:r w:rsidRPr="007C05B6">
        <w:rPr>
          <w:rFonts w:ascii="Times New Roman" w:eastAsia="Times New Roman" w:hAnsi="Times New Roman" w:cs="Times New Roman"/>
        </w:rPr>
        <w:t xml:space="preserve">Nutricionista. Unidad Endocrinología Infantil; Hospital Regional de Antofagasta, </w:t>
      </w:r>
      <w:r w:rsidRPr="007C05B6">
        <w:rPr>
          <w:rFonts w:ascii="Times New Roman" w:eastAsia="Times New Roman" w:hAnsi="Times New Roman" w:cs="Times New Roman"/>
          <w:vertAlign w:val="superscript"/>
        </w:rPr>
        <w:t>2</w:t>
      </w:r>
      <w:r w:rsidRPr="007C05B6">
        <w:rPr>
          <w:rFonts w:ascii="Times New Roman" w:eastAsia="Times New Roman" w:hAnsi="Times New Roman" w:cs="Times New Roman"/>
        </w:rPr>
        <w:t>Enfermera. Unidad Endocrinología Infantil; H</w:t>
      </w:r>
      <w:r w:rsidR="007C05B6">
        <w:rPr>
          <w:rFonts w:ascii="Times New Roman" w:eastAsia="Times New Roman" w:hAnsi="Times New Roman" w:cs="Times New Roman"/>
        </w:rPr>
        <w:t>ospital Regional de Antofagasta</w:t>
      </w:r>
      <w:r w:rsidRPr="007C05B6">
        <w:rPr>
          <w:rFonts w:ascii="Times New Roman" w:eastAsia="Times New Roman" w:hAnsi="Times New Roman" w:cs="Times New Roman"/>
        </w:rPr>
        <w:t>,</w:t>
      </w:r>
      <w:r w:rsidR="007C05B6">
        <w:rPr>
          <w:rFonts w:ascii="Times New Roman" w:eastAsia="Times New Roman" w:hAnsi="Times New Roman" w:cs="Times New Roman"/>
        </w:rPr>
        <w:t xml:space="preserve"> </w:t>
      </w:r>
      <w:r w:rsidRPr="007C05B6">
        <w:rPr>
          <w:rFonts w:ascii="Times New Roman" w:eastAsia="Times New Roman" w:hAnsi="Times New Roman" w:cs="Times New Roman"/>
          <w:vertAlign w:val="superscript"/>
        </w:rPr>
        <w:t>3</w:t>
      </w:r>
      <w:r w:rsidRPr="007C05B6">
        <w:rPr>
          <w:rFonts w:ascii="Times New Roman" w:eastAsia="Times New Roman" w:hAnsi="Times New Roman" w:cs="Times New Roman"/>
        </w:rPr>
        <w:t>Unidad Endocrinología Infantil;</w:t>
      </w:r>
      <w:r w:rsidR="007C05B6">
        <w:rPr>
          <w:rFonts w:ascii="Times New Roman" w:eastAsia="Times New Roman" w:hAnsi="Times New Roman" w:cs="Times New Roman"/>
        </w:rPr>
        <w:t xml:space="preserve"> </w:t>
      </w:r>
      <w:r w:rsidRPr="007C05B6">
        <w:rPr>
          <w:rFonts w:ascii="Times New Roman" w:eastAsia="Times New Roman" w:hAnsi="Times New Roman" w:cs="Times New Roman"/>
        </w:rPr>
        <w:t xml:space="preserve">Hospital Regional de Antofagasta, Universidad de Antofagasta </w:t>
      </w:r>
    </w:p>
    <w:p w:rsidR="00846ED6" w:rsidRPr="007C05B6" w:rsidRDefault="00622651" w:rsidP="007C05B6">
      <w:pPr>
        <w:pStyle w:val="NormalWeb"/>
        <w:spacing w:before="0" w:beforeAutospacing="0" w:after="0" w:afterAutospacing="0"/>
        <w:jc w:val="both"/>
        <w:rPr>
          <w:b/>
          <w:sz w:val="22"/>
          <w:szCs w:val="22"/>
        </w:rPr>
      </w:pPr>
      <w:r w:rsidRPr="007C05B6">
        <w:rPr>
          <w:b/>
          <w:sz w:val="22"/>
          <w:szCs w:val="22"/>
        </w:rPr>
        <w:t>Objetivo:</w:t>
      </w:r>
    </w:p>
    <w:p w:rsidR="00846ED6" w:rsidRPr="007C05B6" w:rsidRDefault="00622651" w:rsidP="007C05B6">
      <w:pPr>
        <w:pStyle w:val="NormalWeb"/>
        <w:spacing w:before="0" w:beforeAutospacing="0" w:after="0" w:afterAutospacing="0"/>
        <w:jc w:val="both"/>
        <w:rPr>
          <w:sz w:val="22"/>
          <w:szCs w:val="22"/>
        </w:rPr>
      </w:pPr>
      <w:r w:rsidRPr="007C05B6">
        <w:rPr>
          <w:sz w:val="22"/>
          <w:szCs w:val="22"/>
        </w:rPr>
        <w:t>Evaluar si hay una variación en el estado nutricional en pacientes con diabetes mellitus tipo 1 (DM1) antes y después de la instalación del monitoreo continuo de glucosa y usuarios de bomba de infusión continua otorgada por la ley 20.850.</w:t>
      </w:r>
    </w:p>
    <w:p w:rsidR="00846ED6" w:rsidRPr="007C05B6" w:rsidRDefault="00622651" w:rsidP="007C05B6">
      <w:pPr>
        <w:pStyle w:val="NormalWeb"/>
        <w:spacing w:before="0" w:beforeAutospacing="0" w:after="0" w:afterAutospacing="0"/>
        <w:jc w:val="both"/>
        <w:rPr>
          <w:b/>
          <w:sz w:val="22"/>
          <w:szCs w:val="22"/>
        </w:rPr>
      </w:pPr>
      <w:r w:rsidRPr="007C05B6">
        <w:rPr>
          <w:b/>
          <w:sz w:val="22"/>
          <w:szCs w:val="22"/>
        </w:rPr>
        <w:t>Método:</w:t>
      </w:r>
    </w:p>
    <w:p w:rsidR="00846ED6" w:rsidRPr="007C05B6" w:rsidRDefault="00622651" w:rsidP="007C05B6">
      <w:pPr>
        <w:pStyle w:val="NormalWeb"/>
        <w:spacing w:before="0" w:beforeAutospacing="0" w:after="0" w:afterAutospacing="0"/>
        <w:jc w:val="both"/>
        <w:rPr>
          <w:sz w:val="22"/>
          <w:szCs w:val="22"/>
        </w:rPr>
      </w:pPr>
      <w:r w:rsidRPr="007C05B6">
        <w:rPr>
          <w:sz w:val="22"/>
          <w:szCs w:val="22"/>
        </w:rPr>
        <w:t>Se evaluó el estado nutricional en pacientes usuarios de bomba antes del uso del monitoreo continuo versus el último control realizado por endocrinólogo infantil con registro de peso, talla y estadio de Tanner en todos sus controles.</w:t>
      </w:r>
    </w:p>
    <w:p w:rsidR="00846ED6" w:rsidRPr="007C05B6" w:rsidRDefault="00622651" w:rsidP="007C05B6">
      <w:pPr>
        <w:pStyle w:val="NormalWeb"/>
        <w:spacing w:before="0" w:beforeAutospacing="0" w:after="0" w:afterAutospacing="0"/>
        <w:jc w:val="both"/>
        <w:rPr>
          <w:sz w:val="22"/>
          <w:szCs w:val="22"/>
        </w:rPr>
      </w:pPr>
      <w:r w:rsidRPr="007C05B6">
        <w:rPr>
          <w:sz w:val="22"/>
          <w:szCs w:val="22"/>
        </w:rPr>
        <w:t>Resultados:</w:t>
      </w:r>
    </w:p>
    <w:p w:rsidR="00846ED6" w:rsidRPr="007C05B6" w:rsidRDefault="00622651" w:rsidP="007C05B6">
      <w:pPr>
        <w:pStyle w:val="NormalWeb"/>
        <w:spacing w:before="0" w:beforeAutospacing="0" w:after="0" w:afterAutospacing="0"/>
        <w:jc w:val="both"/>
        <w:rPr>
          <w:sz w:val="22"/>
          <w:szCs w:val="22"/>
        </w:rPr>
      </w:pPr>
      <w:r w:rsidRPr="007C05B6">
        <w:rPr>
          <w:sz w:val="22"/>
          <w:szCs w:val="22"/>
        </w:rPr>
        <w:t xml:space="preserve">El estudio muestra a 18 pacientes antes y después de la instalación del monitoreo continuo, con una edad promedio de 14,4 </w:t>
      </w:r>
      <w:r w:rsidRPr="007C05B6">
        <w:rPr>
          <w:sz w:val="22"/>
          <w:szCs w:val="22"/>
          <w:u w:val="single"/>
        </w:rPr>
        <w:t>+</w:t>
      </w:r>
      <w:r w:rsidRPr="007C05B6">
        <w:rPr>
          <w:sz w:val="22"/>
          <w:szCs w:val="22"/>
        </w:rPr>
        <w:t xml:space="preserve"> 4.5 desviación estándar (DS), siendo un 62,5% varones y 68,7% púberes en la actualidad. El Z score de IMC antes del uso de monitoreo era 0,48 </w:t>
      </w:r>
      <w:r w:rsidRPr="007C05B6">
        <w:rPr>
          <w:sz w:val="22"/>
          <w:szCs w:val="22"/>
          <w:u w:val="single"/>
        </w:rPr>
        <w:t>+</w:t>
      </w:r>
      <w:r w:rsidRPr="007C05B6">
        <w:rPr>
          <w:sz w:val="22"/>
          <w:szCs w:val="22"/>
        </w:rPr>
        <w:t xml:space="preserve"> 0,98 DS y actualmente es de 0,46 </w:t>
      </w:r>
      <w:r w:rsidRPr="007C05B6">
        <w:rPr>
          <w:sz w:val="22"/>
          <w:szCs w:val="22"/>
          <w:u w:val="single"/>
        </w:rPr>
        <w:t>+</w:t>
      </w:r>
      <w:r w:rsidRPr="007C05B6">
        <w:rPr>
          <w:sz w:val="22"/>
          <w:szCs w:val="22"/>
        </w:rPr>
        <w:t xml:space="preserve"> 0,87 DS, no encontrándose diferencia significativa entre ellos p= 0,47, sin embargo se detectó una tendencia en mejorar el estado nutricional con el uso de monitoreo continuo p= 0,064.</w:t>
      </w:r>
    </w:p>
    <w:p w:rsidR="00846ED6" w:rsidRPr="007C05B6" w:rsidRDefault="00622651" w:rsidP="007C05B6">
      <w:pPr>
        <w:pStyle w:val="NormalWeb"/>
        <w:spacing w:before="0" w:beforeAutospacing="0" w:after="0" w:afterAutospacing="0"/>
        <w:jc w:val="both"/>
        <w:rPr>
          <w:b/>
          <w:sz w:val="22"/>
          <w:szCs w:val="22"/>
        </w:rPr>
      </w:pPr>
      <w:r w:rsidRPr="007C05B6">
        <w:rPr>
          <w:b/>
          <w:sz w:val="22"/>
          <w:szCs w:val="22"/>
        </w:rPr>
        <w:t>Conclusiones:</w:t>
      </w:r>
    </w:p>
    <w:p w:rsidR="00846ED6" w:rsidRPr="007C05B6" w:rsidRDefault="00622651" w:rsidP="007C05B6">
      <w:pPr>
        <w:pStyle w:val="NormalWeb"/>
        <w:spacing w:before="0" w:beforeAutospacing="0" w:after="0" w:afterAutospacing="0"/>
        <w:jc w:val="both"/>
        <w:rPr>
          <w:sz w:val="22"/>
          <w:szCs w:val="22"/>
        </w:rPr>
      </w:pPr>
      <w:r w:rsidRPr="007C05B6">
        <w:rPr>
          <w:sz w:val="22"/>
          <w:szCs w:val="22"/>
        </w:rPr>
        <w:t>En nuestros pacientes usuarios de bomba de insulina con sensor de monitoreo continuo de glucosa, no encontramos diferencias significativa en el estado nutricional, sin embargo nos llama la atención una tendencia en mejorar dicho estado, esto puede ser multifactorial: por el inicio de su pubertad y el estirón puberal y/o que el uso de bomba de insulina en pacientes más autónomos haga que tomen mejores decisiones respecto a los alimentos que consumen según las tendencias de glicemias que va mostrando el monitoreo continuo de glucosa.</w:t>
      </w:r>
    </w:p>
    <w:p w:rsidR="00622651" w:rsidRPr="007C05B6" w:rsidRDefault="00622651" w:rsidP="007C05B6">
      <w:pPr>
        <w:spacing w:after="0" w:line="240" w:lineRule="auto"/>
        <w:jc w:val="both"/>
        <w:rPr>
          <w:rFonts w:ascii="Times New Roman" w:eastAsia="Times New Roman" w:hAnsi="Times New Roman" w:cs="Times New Roman"/>
        </w:rPr>
      </w:pPr>
      <w:r w:rsidRPr="007C05B6">
        <w:rPr>
          <w:rFonts w:ascii="Times New Roman" w:eastAsia="Times New Roman" w:hAnsi="Times New Roman" w:cs="Times New Roman"/>
          <w:b/>
          <w:bCs/>
        </w:rPr>
        <w:t xml:space="preserve">Financiamiento: </w:t>
      </w:r>
      <w:r w:rsidRPr="007C05B6">
        <w:rPr>
          <w:rFonts w:ascii="Times New Roman" w:eastAsia="Times New Roman" w:hAnsi="Times New Roman" w:cs="Times New Roman"/>
        </w:rPr>
        <w:t xml:space="preserve">Sin financiamiento </w:t>
      </w:r>
    </w:p>
    <w:sectPr w:rsidR="00622651" w:rsidRPr="007C05B6" w:rsidSect="00846ED6">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408B7"/>
    <w:rsid w:val="001171D8"/>
    <w:rsid w:val="0020250E"/>
    <w:rsid w:val="00622651"/>
    <w:rsid w:val="00667EB0"/>
    <w:rsid w:val="007C05B6"/>
    <w:rsid w:val="00846ED6"/>
    <w:rsid w:val="00F408B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6ED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1773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cp:lastPrinted>2018-08-03T19:35:00Z</cp:lastPrinted>
  <dcterms:created xsi:type="dcterms:W3CDTF">2018-08-03T19:35:00Z</dcterms:created>
  <dcterms:modified xsi:type="dcterms:W3CDTF">2018-09-30T04:39:00Z</dcterms:modified>
</cp:coreProperties>
</file>